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、</w:t>
      </w:r>
      <w:r>
        <w:rPr>
          <w:rFonts w:ascii="Times New Roman" w:hAnsi="Times New Roman" w:eastAsia="宋体"/>
          <w:b/>
          <w:bCs/>
          <w:sz w:val="24"/>
          <w:szCs w:val="24"/>
        </w:rPr>
        <w:t>患者，女性，45岁，职员。因“左大腿根部包块1年，肿大疼痛4小时”入院。患者1年前洗澡时无意中发现左大腿根部有一半球形软包性包块，无红肿疼痛，在上时间站立或咳嗽时包块增大，平卧后变小。未行任何治疗。4小时前肿块突然增大，变硬，疼痛。感下腹阵发性疼痛，恶心，呕吐胃内容物2次，量约500ml。查体：T 37．11℃ HR72次／分，R 20次／分，BP 130/90mmHg。体态略胖。心肺未见异常。腹部稍隆起，下腹可见肠型，腹肌紧张，压痛（＋），无反跳痛，移动性浊音阴性，肠鸣音亢进。左大腿根部可见3cm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×</w:t>
      </w:r>
      <w:r>
        <w:rPr>
          <w:rFonts w:ascii="Times New Roman" w:hAnsi="Times New Roman" w:eastAsia="宋体"/>
          <w:b/>
          <w:bCs/>
          <w:sz w:val="24"/>
          <w:szCs w:val="24"/>
        </w:rPr>
        <w:t>4cm大小半球形肿块，压痛明显，活动度差，平卧位不能消失。辅助检查：血常规：WBC 12.9×109/L，Hb 110g/L，RBC 4×1012/L。腹部平片未见膈下游离气体，肠内可见多个液气平面。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i/>
          <w:iCs/>
          <w:sz w:val="24"/>
          <w:szCs w:val="24"/>
          <w:u w:val="single"/>
        </w:rPr>
        <w:t>根据病例，回答问题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：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1.</w:t>
      </w:r>
      <w:r>
        <w:rPr>
          <w:rFonts w:ascii="Times New Roman" w:hAnsi="Times New Roman" w:eastAsia="宋体"/>
          <w:b/>
          <w:bCs/>
          <w:sz w:val="24"/>
          <w:szCs w:val="24"/>
        </w:rPr>
        <w:tab/>
      </w:r>
      <w:r>
        <w:rPr>
          <w:rFonts w:ascii="Times New Roman" w:hAnsi="Times New Roman" w:eastAsia="宋体"/>
          <w:b/>
          <w:bCs/>
          <w:sz w:val="24"/>
          <w:szCs w:val="24"/>
        </w:rPr>
        <w:t>初步诊断及诊断依据？2．该病鉴别诊断？3．该病需要哪些进一步检查？4．该病治疗原则？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i/>
          <w:iCs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b/>
          <w:bCs/>
          <w:i/>
          <w:iCs/>
          <w:sz w:val="24"/>
          <w:szCs w:val="24"/>
          <w:u w:val="single"/>
        </w:rPr>
        <w:t>答案：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（</w:t>
      </w:r>
      <w:r>
        <w:rPr>
          <w:rFonts w:ascii="Times New Roman" w:hAnsi="Times New Roman" w:eastAsia="宋体"/>
          <w:b/>
          <w:bCs/>
          <w:sz w:val="24"/>
          <w:szCs w:val="24"/>
        </w:rPr>
        <w:t>1）股疝嵌顿（2）腹股沟斜疝、脂肪瘤、肿大淋巴结、脓肿、大隐静脉曲张结节样膨大、子宫圆韧带囊肿（3）腹部+盆腔CT、局部B超及其他术前基本检查（4）紧急手术治疗解除梗阻。</w:t>
      </w: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ascii="Times New Roman" w:hAnsi="Times New Roman" w:eastAsia="宋体"/>
          <w:b/>
          <w:bCs/>
          <w:sz w:val="24"/>
          <w:szCs w:val="24"/>
        </w:rPr>
        <w:t>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、患者，男性，</w:t>
      </w:r>
      <w:r>
        <w:rPr>
          <w:rFonts w:ascii="Times New Roman" w:hAnsi="Times New Roman" w:eastAsia="宋体"/>
          <w:b/>
          <w:bCs/>
          <w:sz w:val="24"/>
          <w:szCs w:val="24"/>
        </w:rPr>
        <w:t>40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岁，职员。因腹痛</w:t>
      </w:r>
      <w:r>
        <w:rPr>
          <w:rFonts w:ascii="Times New Roman" w:hAnsi="Times New Roman" w:eastAsia="宋体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天入院。患者</w:t>
      </w:r>
      <w:r>
        <w:rPr>
          <w:rFonts w:ascii="Times New Roman" w:hAnsi="Times New Roman" w:eastAsia="宋体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天前酒席宴会后出现中上腹钝痛，进食略加重，与排便无关，偶有反酸，无恶心、呕吐，自服胃黏膜保护剂有一定疗效，但疼痛持续存在，前弓位可略缓解，影响进食；进食鱼汤后上腹痛明显加重，动则痛甚，解痉药无效，恶心、呕吐</w:t>
      </w:r>
      <w:r>
        <w:rPr>
          <w:rFonts w:ascii="Times New Roman" w:hAnsi="Times New Roman" w:eastAsia="宋体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次，为胃内容物。大便基本</w:t>
      </w:r>
      <w:r>
        <w:rPr>
          <w:rFonts w:ascii="Times New Roman" w:hAnsi="Times New Roman" w:eastAsia="宋体"/>
          <w:b/>
          <w:bCs/>
          <w:sz w:val="24"/>
          <w:szCs w:val="24"/>
        </w:rPr>
        <w:t>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天</w:t>
      </w:r>
      <w:r>
        <w:rPr>
          <w:rFonts w:ascii="Times New Roman" w:hAnsi="Times New Roman" w:eastAsia="宋体"/>
          <w:b/>
          <w:bCs/>
          <w:sz w:val="24"/>
          <w:szCs w:val="24"/>
        </w:rPr>
        <w:t>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次，未见明显黑便。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查体：</w:t>
      </w:r>
      <w:r>
        <w:rPr>
          <w:rFonts w:ascii="Times New Roman" w:hAnsi="Times New Roman" w:eastAsia="宋体"/>
          <w:b/>
          <w:bCs/>
          <w:sz w:val="24"/>
          <w:szCs w:val="24"/>
        </w:rPr>
        <w:t>T 37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．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5℃ 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，</w:t>
      </w:r>
      <w:r>
        <w:rPr>
          <w:rFonts w:ascii="Times New Roman" w:hAnsi="Times New Roman" w:eastAsia="宋体"/>
          <w:b/>
          <w:bCs/>
          <w:sz w:val="24"/>
          <w:szCs w:val="24"/>
        </w:rPr>
        <w:t>HR 96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次／分，</w:t>
      </w:r>
      <w:r>
        <w:rPr>
          <w:rFonts w:ascii="Times New Roman" w:hAnsi="Times New Roman" w:eastAsia="宋体"/>
          <w:b/>
          <w:bCs/>
          <w:sz w:val="24"/>
          <w:szCs w:val="24"/>
        </w:rPr>
        <w:t>BP 130/85mmHg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。神清语利，被动蜷曲位，皮肤巩膜黄染，浅表淋巴结未及。心肺未及明显异常。腹软，中上腹压痛</w:t>
      </w:r>
      <w:r>
        <w:rPr>
          <w:rFonts w:ascii="Times New Roman" w:hAnsi="Times New Roman" w:eastAsia="宋体"/>
          <w:b/>
          <w:bCs/>
          <w:sz w:val="24"/>
          <w:szCs w:val="24"/>
        </w:rPr>
        <w:t>(+)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，未及包块，肝脾未及。肠鸣音</w:t>
      </w:r>
      <w:r>
        <w:rPr>
          <w:rFonts w:ascii="Times New Roman" w:hAnsi="Times New Roman" w:eastAsia="宋体"/>
          <w:b/>
          <w:bCs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～</w:t>
      </w:r>
      <w:r>
        <w:rPr>
          <w:rFonts w:ascii="Times New Roman" w:hAnsi="Times New Roman" w:eastAsia="宋体"/>
          <w:b/>
          <w:bCs/>
          <w:sz w:val="24"/>
          <w:szCs w:val="24"/>
        </w:rPr>
        <w:t>5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次／分。肛诊：</w:t>
      </w:r>
      <w:r>
        <w:rPr>
          <w:rFonts w:ascii="Times New Roman" w:hAnsi="Times New Roman" w:eastAsia="宋体"/>
          <w:b/>
          <w:bCs/>
          <w:sz w:val="24"/>
          <w:szCs w:val="24"/>
        </w:rPr>
        <w:t>(-)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。辅助检查：血常规：</w:t>
      </w:r>
      <w:r>
        <w:rPr>
          <w:rFonts w:ascii="Times New Roman" w:hAnsi="Times New Roman" w:eastAsia="宋体"/>
          <w:b/>
          <w:bCs/>
          <w:sz w:val="24"/>
          <w:szCs w:val="24"/>
        </w:rPr>
        <w:t>WBC 12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．</w:t>
      </w:r>
      <w:r>
        <w:rPr>
          <w:rFonts w:ascii="Times New Roman" w:hAnsi="Times New Roman" w:eastAsia="宋体"/>
          <w:b/>
          <w:bCs/>
          <w:sz w:val="24"/>
          <w:szCs w:val="24"/>
        </w:rPr>
        <w:t>9 × 10</w:t>
      </w:r>
      <w:r>
        <w:rPr>
          <w:rFonts w:ascii="Times New Roman" w:hAnsi="Times New Roman" w:eastAsia="宋体"/>
          <w:b/>
          <w:bCs/>
          <w:sz w:val="24"/>
          <w:szCs w:val="24"/>
          <w:vertAlign w:val="superscript"/>
        </w:rPr>
        <w:t>9</w:t>
      </w:r>
      <w:r>
        <w:rPr>
          <w:rFonts w:ascii="Times New Roman" w:hAnsi="Times New Roman" w:eastAsia="宋体"/>
          <w:b/>
          <w:bCs/>
          <w:sz w:val="24"/>
          <w:szCs w:val="24"/>
        </w:rPr>
        <w:t>/L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，</w:t>
      </w:r>
      <w:r>
        <w:rPr>
          <w:rFonts w:ascii="Times New Roman" w:hAnsi="Times New Roman" w:eastAsia="宋体"/>
          <w:b/>
          <w:bCs/>
          <w:sz w:val="24"/>
          <w:szCs w:val="24"/>
        </w:rPr>
        <w:t>GR 81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．</w:t>
      </w:r>
      <w:r>
        <w:rPr>
          <w:rFonts w:ascii="Times New Roman" w:hAnsi="Times New Roman" w:eastAsia="宋体"/>
          <w:b/>
          <w:bCs/>
          <w:sz w:val="24"/>
          <w:szCs w:val="24"/>
        </w:rPr>
        <w:t>8%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，</w:t>
      </w:r>
      <w:r>
        <w:rPr>
          <w:rFonts w:ascii="Times New Roman" w:hAnsi="Times New Roman" w:eastAsia="宋体"/>
          <w:b/>
          <w:bCs/>
          <w:sz w:val="24"/>
          <w:szCs w:val="24"/>
        </w:rPr>
        <w:t>Hb 126g/L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，</w:t>
      </w:r>
      <w:r>
        <w:rPr>
          <w:rFonts w:ascii="Times New Roman" w:hAnsi="Times New Roman" w:eastAsia="宋体"/>
          <w:b/>
          <w:bCs/>
          <w:sz w:val="24"/>
          <w:szCs w:val="24"/>
        </w:rPr>
        <w:t>PLT 380×109/L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；血淀粉酶</w:t>
      </w:r>
      <w:r>
        <w:rPr>
          <w:rFonts w:ascii="Times New Roman" w:hAnsi="Times New Roman" w:eastAsia="宋体"/>
          <w:b/>
          <w:bCs/>
          <w:sz w:val="24"/>
          <w:szCs w:val="24"/>
        </w:rPr>
        <w:t>546U/L</w:t>
      </w:r>
    </w:p>
    <w:p>
      <w:pPr>
        <w:spacing w:line="360" w:lineRule="auto"/>
        <w:rPr>
          <w:rFonts w:hint="eastAsia" w:ascii="Times New Roman" w:hAnsi="Times New Roman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b/>
          <w:bCs/>
          <w:i/>
          <w:iCs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b/>
          <w:bCs/>
          <w:i/>
          <w:iCs/>
          <w:sz w:val="24"/>
          <w:szCs w:val="24"/>
          <w:u w:val="single"/>
        </w:rPr>
        <w:t>根据病例，回答问题：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诊断及诊断依据？</w:t>
      </w:r>
      <w:r>
        <w:rPr>
          <w:rFonts w:ascii="Times New Roman" w:hAnsi="Times New Roman" w:eastAsia="宋体"/>
          <w:b/>
          <w:bCs/>
          <w:sz w:val="24"/>
          <w:szCs w:val="24"/>
        </w:rPr>
        <w:t>2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、还需要哪些进一步检查项目并说明理由？</w:t>
      </w:r>
      <w:r>
        <w:rPr>
          <w:rFonts w:ascii="Times New Roman" w:hAnsi="Times New Roman" w:eastAsia="宋体"/>
          <w:b/>
          <w:bCs/>
          <w:sz w:val="24"/>
          <w:szCs w:val="24"/>
        </w:rPr>
        <w:t>3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、简述治疗该疾病目前主流的治疗方式？</w:t>
      </w:r>
      <w:r>
        <w:rPr>
          <w:rFonts w:ascii="Times New Roman" w:hAnsi="Times New Roman" w:eastAsia="宋体"/>
          <w:b/>
          <w:bCs/>
          <w:sz w:val="24"/>
          <w:szCs w:val="24"/>
        </w:rPr>
        <w:t>4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、阐述本案例在哪种情况下需要进行手术治疗并说明理由？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/>
          <w:color w:val="00B05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b/>
          <w:bCs/>
          <w:i/>
          <w:iCs/>
          <w:color w:val="auto"/>
          <w:sz w:val="24"/>
          <w:szCs w:val="24"/>
          <w:u w:val="single"/>
        </w:rPr>
        <w:t>答案：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宋体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宋体"/>
          <w:color w:val="auto"/>
          <w:sz w:val="24"/>
          <w:szCs w:val="24"/>
        </w:rPr>
        <w:t>（</w:t>
      </w:r>
      <w:r>
        <w:rPr>
          <w:rFonts w:ascii="Times New Roman" w:hAnsi="Times New Roman" w:eastAsia="宋体"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）急性胰腺炎（</w:t>
      </w:r>
      <w:r>
        <w:rPr>
          <w:rFonts w:ascii="Times New Roman" w:hAnsi="Times New Roman" w:eastAsia="宋体"/>
          <w:color w:val="auto"/>
          <w:sz w:val="24"/>
          <w:szCs w:val="24"/>
        </w:rPr>
        <w:t>2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）</w:t>
      </w:r>
      <w:r>
        <w:rPr>
          <w:rFonts w:ascii="Times New Roman" w:hAnsi="Times New Roman" w:eastAsia="宋体"/>
          <w:color w:val="auto"/>
          <w:sz w:val="24"/>
          <w:szCs w:val="24"/>
        </w:rPr>
        <w:t>MRCP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、肝功能、肾功能、血糖、电解质、血脂等（</w:t>
      </w:r>
      <w:r>
        <w:rPr>
          <w:rFonts w:ascii="Times New Roman" w:hAnsi="Times New Roman" w:eastAsia="宋体"/>
          <w:color w:val="auto"/>
          <w:sz w:val="24"/>
          <w:szCs w:val="24"/>
        </w:rPr>
        <w:t>3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）非手术治疗：</w:t>
      </w:r>
      <w:r>
        <w:rPr>
          <w:rFonts w:hint="eastAsia" w:ascii="Times New Roman" w:hAnsi="Times New Roman" w:eastAsia="宋体"/>
          <w:color w:val="auto"/>
          <w:kern w:val="0"/>
          <w:sz w:val="24"/>
          <w:szCs w:val="24"/>
        </w:rPr>
        <w:t>禁食、胃肠减压；补液、防治休克；镇痛解痉；抑制胰腺分泌；营养支持；抗生素的应用。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（</w:t>
      </w:r>
      <w:r>
        <w:rPr>
          <w:rFonts w:ascii="Times New Roman" w:hAnsi="Times New Roman" w:eastAsia="宋体"/>
          <w:color w:val="auto"/>
          <w:sz w:val="24"/>
          <w:szCs w:val="24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）</w:t>
      </w:r>
      <w:r>
        <w:rPr>
          <w:rFonts w:ascii="Times New Roman" w:hAnsi="Times New Roman" w:eastAsia="宋体"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、急性腹膜炎不能排除其他急腹症时；</w:t>
      </w:r>
      <w:r>
        <w:rPr>
          <w:rFonts w:ascii="Times New Roman" w:hAnsi="Times New Roman" w:eastAsia="宋体"/>
          <w:color w:val="auto"/>
          <w:sz w:val="24"/>
          <w:szCs w:val="24"/>
        </w:rPr>
        <w:t>2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、胰腺和胰周坏死组织继发感染；</w:t>
      </w:r>
      <w:r>
        <w:rPr>
          <w:rFonts w:ascii="Times New Roman" w:hAnsi="Times New Roman" w:eastAsia="宋体"/>
          <w:color w:val="auto"/>
          <w:sz w:val="24"/>
          <w:szCs w:val="24"/>
        </w:rPr>
        <w:t>3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、伴胆总管下段梗阻或胆道感染者；</w:t>
      </w:r>
      <w:r>
        <w:rPr>
          <w:rFonts w:ascii="Times New Roman" w:hAnsi="Times New Roman" w:eastAsia="宋体"/>
          <w:color w:val="auto"/>
          <w:sz w:val="24"/>
          <w:szCs w:val="24"/>
        </w:rPr>
        <w:t>4</w:t>
      </w:r>
      <w:r>
        <w:rPr>
          <w:rFonts w:hint="eastAsia" w:ascii="Times New Roman" w:hAnsi="Times New Roman" w:eastAsia="宋体"/>
          <w:color w:val="auto"/>
          <w:sz w:val="24"/>
          <w:szCs w:val="24"/>
        </w:rPr>
        <w:t>、合并肠穿孔、大出血或胰腺假性囊肿。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27C24"/>
    <w:multiLevelType w:val="multilevel"/>
    <w:tmpl w:val="17427C24"/>
    <w:lvl w:ilvl="0" w:tentative="0">
      <w:start w:val="1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iMjQ5NWNhZWRiZWFlMGM0ZDBhZGU1ZGRiY2M2ZTAifQ=="/>
  </w:docVars>
  <w:rsids>
    <w:rsidRoot w:val="00854438"/>
    <w:rsid w:val="00135131"/>
    <w:rsid w:val="007F0475"/>
    <w:rsid w:val="00854438"/>
    <w:rsid w:val="00D1271D"/>
    <w:rsid w:val="00D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951</Words>
  <Characters>1056</Characters>
  <Lines>7</Lines>
  <Paragraphs>2</Paragraphs>
  <TotalTime>2</TotalTime>
  <ScaleCrop>false</ScaleCrop>
  <LinksUpToDate>false</LinksUpToDate>
  <CharactersWithSpaces>1075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2023-08-22T11:34:00Z</dcterms:created>
  <dc:creator>w l</dc:creator>
  <cp:lastModifiedBy>Administrator</cp:lastModifiedBy>
  <dcterms:modified xsi:type="dcterms:W3CDTF">2023-08-23T09:01:52Z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449572F6DC2E42DBAF3EDE66FFA35CBC_12</vt:lpwstr>
  </property>
</Properties>
</file>